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663" w:rsidRDefault="005D3D9C" w:rsidP="005D3D9C">
      <w:r>
        <w:t xml:space="preserve">  </w:t>
      </w:r>
      <w:r>
        <w:tab/>
        <w:t xml:space="preserve"> </w:t>
      </w:r>
      <w:r w:rsidR="00624F08">
        <w:t xml:space="preserve"> </w:t>
      </w:r>
    </w:p>
    <w:p w:rsidR="008B5663" w:rsidRDefault="008B5663" w:rsidP="005D3D9C"/>
    <w:p w:rsidR="008B5663" w:rsidRDefault="008B5663" w:rsidP="005D3D9C"/>
    <w:p w:rsidR="008B5663" w:rsidRDefault="008B5663" w:rsidP="005D3D9C"/>
    <w:p w:rsidR="008B5663" w:rsidRDefault="008B5663" w:rsidP="005D3D9C"/>
    <w:p w:rsidR="00090900" w:rsidRPr="00090900" w:rsidRDefault="00090900" w:rsidP="00090900">
      <w:pPr>
        <w:jc w:val="center"/>
        <w:rPr>
          <w:b/>
        </w:rPr>
      </w:pPr>
      <w:r w:rsidRPr="00090900">
        <w:rPr>
          <w:b/>
        </w:rPr>
        <w:t>Elements of Crown Conviction</w:t>
      </w:r>
    </w:p>
    <w:p w:rsidR="00090900" w:rsidRPr="00090900" w:rsidRDefault="00090900" w:rsidP="00090900">
      <w:pPr>
        <w:jc w:val="center"/>
        <w:rPr>
          <w:b/>
        </w:rPr>
      </w:pPr>
      <w:r w:rsidRPr="00090900">
        <w:rPr>
          <w:b/>
        </w:rPr>
        <w:t>Name</w:t>
      </w:r>
    </w:p>
    <w:p w:rsidR="00090900" w:rsidRPr="00090900" w:rsidRDefault="00090900" w:rsidP="00090900">
      <w:pPr>
        <w:jc w:val="center"/>
        <w:rPr>
          <w:b/>
        </w:rPr>
      </w:pPr>
      <w:r w:rsidRPr="00090900">
        <w:rPr>
          <w:b/>
        </w:rPr>
        <w:t>Date</w:t>
      </w:r>
    </w:p>
    <w:p w:rsidR="00090900" w:rsidRPr="00090900" w:rsidRDefault="00090900" w:rsidP="00090900">
      <w:pPr>
        <w:jc w:val="center"/>
        <w:rPr>
          <w:b/>
        </w:rPr>
      </w:pPr>
      <w:r w:rsidRPr="00090900">
        <w:rPr>
          <w:b/>
        </w:rPr>
        <w:t>Institutional Affiliation</w:t>
      </w:r>
    </w:p>
    <w:p w:rsidR="00090900" w:rsidRPr="00090900" w:rsidRDefault="00090900" w:rsidP="00090900">
      <w:pPr>
        <w:jc w:val="center"/>
        <w:rPr>
          <w:b/>
        </w:rPr>
      </w:pPr>
    </w:p>
    <w:p w:rsidR="008B5663" w:rsidRPr="00090900" w:rsidRDefault="008B5663" w:rsidP="00090900">
      <w:pPr>
        <w:jc w:val="center"/>
        <w:rPr>
          <w:b/>
        </w:rPr>
      </w:pPr>
    </w:p>
    <w:p w:rsidR="008B5663" w:rsidRDefault="008B5663" w:rsidP="005D3D9C"/>
    <w:p w:rsidR="008B5663" w:rsidRDefault="008B5663" w:rsidP="005D3D9C"/>
    <w:p w:rsidR="008B5663" w:rsidRDefault="008B5663" w:rsidP="005D3D9C"/>
    <w:p w:rsidR="008B5663" w:rsidRDefault="008B5663" w:rsidP="005D3D9C"/>
    <w:p w:rsidR="008B5663" w:rsidRDefault="008B5663" w:rsidP="005D3D9C"/>
    <w:p w:rsidR="008B5663" w:rsidRDefault="008B5663" w:rsidP="005D3D9C"/>
    <w:p w:rsidR="008B5663" w:rsidRDefault="008B5663" w:rsidP="005D3D9C"/>
    <w:p w:rsidR="008B5663" w:rsidRDefault="008B5663" w:rsidP="005D3D9C"/>
    <w:p w:rsidR="008B5663" w:rsidRDefault="008B5663" w:rsidP="005D3D9C"/>
    <w:p w:rsidR="008B5663" w:rsidRDefault="008B5663" w:rsidP="005D3D9C"/>
    <w:p w:rsidR="00090900" w:rsidRDefault="00090900" w:rsidP="00090900"/>
    <w:p w:rsidR="008426C2" w:rsidRDefault="005D3D9C" w:rsidP="00090900">
      <w:pPr>
        <w:ind w:firstLine="720"/>
      </w:pPr>
      <w:r>
        <w:lastRenderedPageBreak/>
        <w:t xml:space="preserve">Controlled substances under the Canadian Federal Controlled Drugs and Substances Act are substances </w:t>
      </w:r>
      <w:r w:rsidR="00624F08">
        <w:t xml:space="preserve">that </w:t>
      </w:r>
      <w:r>
        <w:t>the public and civilians in general need not to possess</w:t>
      </w:r>
      <w:r w:rsidR="00497B6D">
        <w:t xml:space="preserve"> (</w:t>
      </w:r>
      <w:r w:rsidR="00497B6D">
        <w:rPr>
          <w:rFonts w:eastAsia="Times New Roman" w:cs="Times New Roman"/>
          <w:szCs w:val="24"/>
        </w:rPr>
        <w:t xml:space="preserve">Asch, </w:t>
      </w:r>
      <w:r w:rsidR="00497B6D" w:rsidRPr="00497B6D">
        <w:rPr>
          <w:rFonts w:eastAsia="Times New Roman" w:cs="Times New Roman"/>
          <w:szCs w:val="24"/>
        </w:rPr>
        <w:t>2014)</w:t>
      </w:r>
      <w:r>
        <w:t>. The Office of Controlled Substances (OCS) is working in close collaboration with Canada and other Stakeholders internationally from the private and public sectors to ensure that the controlled substances purely remain in legal distribution channels. The segments ensure that the controlled substances remain in</w:t>
      </w:r>
      <w:r w:rsidR="002E11BA">
        <w:t xml:space="preserve"> </w:t>
      </w:r>
      <w:r>
        <w:t xml:space="preserve">valid commercial, medical, scientific activities and legal distribution channels thence avoiding interference, whatsoever. In Canada, the controlled substances include but are not limited to; narcotic analgesics (Tylenol 3® and OxyNEO™) and the non-narcotic methylphenidate (Ritalin®, barbiturates and benzodiazepines). In Canada; possession is proven through direct and circumstantial shreds of evidence that are logical. </w:t>
      </w:r>
    </w:p>
    <w:p w:rsidR="005D3D9C" w:rsidRDefault="008426C2" w:rsidP="00090900">
      <w:pPr>
        <w:ind w:firstLine="720"/>
      </w:pPr>
      <w:r>
        <w:t>Notably, in the state</w:t>
      </w:r>
      <w:r w:rsidR="005D3D9C">
        <w:t>, the actual proof of possession of an illegal substance that may lead one to conviction is critically established concerning the definite evidence that is presented before the court, analyzed as a whole</w:t>
      </w:r>
      <w:r w:rsidR="004B458F">
        <w:t xml:space="preserve"> (</w:t>
      </w:r>
      <w:r w:rsidR="004B458F" w:rsidRPr="00497B6D">
        <w:rPr>
          <w:rFonts w:eastAsia="Times New Roman" w:cs="Times New Roman"/>
          <w:szCs w:val="24"/>
        </w:rPr>
        <w:t>Broséus,</w:t>
      </w:r>
      <w:r w:rsidR="004B458F">
        <w:rPr>
          <w:rFonts w:eastAsia="Times New Roman" w:cs="Times New Roman"/>
          <w:szCs w:val="24"/>
        </w:rPr>
        <w:t xml:space="preserve"> 2016)</w:t>
      </w:r>
      <w:r w:rsidR="005D3D9C">
        <w:t xml:space="preserve">. In other words, proof of possession cannot only be established by having a glance at the evidence presented individually but through a critical and in-depth application of critical thinking. It is prudent to note that the onus authentically remains throughout with the Crown. The Crown creates an evidential onus or a prima facie case critically in the cases where the evidence practically “cries out for a clear explanation by the accused person.” </w:t>
      </w:r>
    </w:p>
    <w:p w:rsidR="005D3D9C" w:rsidRDefault="005D3D9C" w:rsidP="005D3D9C">
      <w:r>
        <w:t xml:space="preserve"> </w:t>
      </w:r>
      <w:r>
        <w:tab/>
      </w:r>
      <w:r w:rsidR="00B9537D">
        <w:t xml:space="preserve">   In Canada </w:t>
      </w:r>
      <w:r w:rsidR="00276F5B">
        <w:t>during criminal</w:t>
      </w:r>
      <w:r>
        <w:t xml:space="preserve"> trial, the Crown should present maximum evidence that in this case will tend to establish the actual offense that is charged</w:t>
      </w:r>
      <w:r w:rsidR="00B9537D">
        <w:t>, in a critical manner</w:t>
      </w:r>
      <w:r>
        <w:t xml:space="preserve">. Therefore, each offense concerning the Criminal Code is mostly broken down and reduced into real “elements.” The elements comprise the exact crime. Subsequently, each item has to be proven </w:t>
      </w:r>
      <w:r>
        <w:lastRenderedPageBreak/>
        <w:t xml:space="preserve">beyond reasonable doubt before the court and judges authentically consider making a guilty verdict thence leading to a conviction of the suspect. </w:t>
      </w:r>
    </w:p>
    <w:p w:rsidR="005D3D9C" w:rsidRDefault="005D3D9C" w:rsidP="005D3D9C">
      <w:r>
        <w:t xml:space="preserve">   </w:t>
      </w:r>
      <w:r>
        <w:tab/>
        <w:t xml:space="preserve"> The Crown needs the element of consent to prove the guilty extent of the accused person thence leading to a conviction. The component of approval requires that the accused person has to consent and have full knowledge of the existence of the actual substance. The crown has to ascertain that the accused person, for instance, has spent time purely maintaining and keeping the real substance while considering the various ways in which they can traffic the substance. It is circumspective to note that in Canada, for an individual to be convicted due to possession of a controlled substance for the actual purpose of trafficking, the crown has to ascertain the various categories of ownership thence convictions made, courtesy of the real possession interpretation</w:t>
      </w:r>
      <w:r w:rsidR="007D6658">
        <w:t xml:space="preserve"> (</w:t>
      </w:r>
      <w:r w:rsidR="007D6658" w:rsidRPr="00497B6D">
        <w:rPr>
          <w:rFonts w:eastAsia="Times New Roman" w:cs="Times New Roman"/>
          <w:szCs w:val="24"/>
        </w:rPr>
        <w:t>Khenti,</w:t>
      </w:r>
      <w:r w:rsidR="00056402">
        <w:rPr>
          <w:rFonts w:eastAsia="Times New Roman" w:cs="Times New Roman"/>
          <w:szCs w:val="24"/>
        </w:rPr>
        <w:t xml:space="preserve"> 2014</w:t>
      </w:r>
      <w:r w:rsidR="007D6658">
        <w:rPr>
          <w:rFonts w:eastAsia="Times New Roman" w:cs="Times New Roman"/>
          <w:szCs w:val="24"/>
        </w:rPr>
        <w:t>)</w:t>
      </w:r>
      <w:r>
        <w:t xml:space="preserve">. First, there is Personal/ Actual Possession. In this case, personal possession purely authenticates that the accused person has the obligation and must be aware that she or he has actual physical custody of the specific substance in </w:t>
      </w:r>
      <w:r w:rsidR="007D6658">
        <w:t>question (</w:t>
      </w:r>
      <w:r w:rsidR="007D6658" w:rsidRPr="00497B6D">
        <w:rPr>
          <w:rFonts w:eastAsia="Times New Roman" w:cs="Times New Roman"/>
          <w:szCs w:val="24"/>
        </w:rPr>
        <w:t>Fischer,</w:t>
      </w:r>
      <w:r w:rsidR="007D6658">
        <w:rPr>
          <w:rFonts w:eastAsia="Times New Roman" w:cs="Times New Roman"/>
          <w:szCs w:val="24"/>
        </w:rPr>
        <w:t xml:space="preserve"> 2015)</w:t>
      </w:r>
      <w:r>
        <w:t xml:space="preserve">. Also, the accused person has to be informed, having full knowledge of what the substance is. In this case, both elements must exist co-currently with the control act (outside of public duty). </w:t>
      </w:r>
    </w:p>
    <w:p w:rsidR="005D3D9C" w:rsidRDefault="005D3D9C" w:rsidP="005D3D9C">
      <w:r>
        <w:t xml:space="preserve">  </w:t>
      </w:r>
      <w:r>
        <w:tab/>
        <w:t xml:space="preserve">  Moreover, Control element is quite critical for the Crown to prove conviction for possession of controlled substances by the accused persons, for sole purposes of trafficking. The Control element is factually established under the obligations of showing and proving that the accused person has an intention to exercise control authentically. On the same note, the Crown can ascertain to the accused person that they are totally in possession of the exact area that the particular substance(s) was found being stored. In this scenario, Control element mandates the Crown to critically prove that the accused person(s) has control over the stipulated area that the substance was found. For example, through a Trier-of-fact, a conclusion is reached by the Crown </w:t>
      </w:r>
      <w:r>
        <w:lastRenderedPageBreak/>
        <w:t xml:space="preserve">that someone or the individual living in the original premises in which bhang or marijuana is openly located is in a tentative position of control. This is ascertained when the location of the plant is the accused person’s piece of land, thence a form of control exercise by the accused person.  In this case, Constructive possession stipulates that the Crown needs to obtain a conviction for actual possession of a controlled substance for trafficking. In this case, constructive possession requires that the accused person has to have enough knowledge of the alleged item, actual consent or intent to have possession of the acclaimed object, and finally; control over the particular substance. In other words, the Crown must prove knowledge that at this juncture extends beyond “quiescent knowledge” that authentically discloses the degree of control of the actual item; in accordance to the country law. Constructive possession encompasses the conviction of the accused person regardless of the obtained controlled substances belonging to a third party. </w:t>
      </w:r>
    </w:p>
    <w:p w:rsidR="005D3D9C" w:rsidRDefault="005D3D9C" w:rsidP="005D3D9C">
      <w:r>
        <w:t xml:space="preserve"> </w:t>
      </w:r>
      <w:r>
        <w:tab/>
        <w:t xml:space="preserve">   Besides, in cases of constructive possession of drugs and substances that are found in a house or suite conviction is established under the proposition of whoever the property belongs to. In this case, the accused person is presumed by the crown that they have full knowledge of the substance obtained thence leading to a conviction. Even in the circumstances whereby the accused person does not have exclusive mandate and control over the property (house or suite), the individual still is under the establishments of joint possession of the substance.</w:t>
      </w:r>
    </w:p>
    <w:p w:rsidR="005D3D9C" w:rsidRDefault="005D3D9C" w:rsidP="005D3D9C">
      <w:r>
        <w:t xml:space="preserve"> </w:t>
      </w:r>
      <w:r>
        <w:tab/>
        <w:t xml:space="preserve">   On the other hand, Joint Possession prompts the Crown needs to obtain a conviction for actual possession of a controlled substance for trafficking. Joint possession prudently accounts to the form of possession whereby multiple people are deemed to be in actual custody or possession of the substance. In this case, the crown has to ascertain that the accused person has full </w:t>
      </w:r>
      <w:r>
        <w:lastRenderedPageBreak/>
        <w:t xml:space="preserve">knowledge and consent of the substance. Equally, the Crown has to prove and provide a full view of the degree or extent to which the particular substance is controlled. </w:t>
      </w:r>
    </w:p>
    <w:p w:rsidR="005D3D9C" w:rsidRDefault="005D3D9C" w:rsidP="005D3D9C">
      <w:r>
        <w:t xml:space="preserve">    </w:t>
      </w:r>
      <w:r>
        <w:tab/>
        <w:t>According to Canadian law, trafficking includes selling, administering, transporting and delivering of an unauthorized substance</w:t>
      </w:r>
      <w:r w:rsidR="00130AB4">
        <w:t xml:space="preserve"> (</w:t>
      </w:r>
      <w:r w:rsidR="00130AB4" w:rsidRPr="00497B6D">
        <w:rPr>
          <w:rFonts w:eastAsia="Times New Roman" w:cs="Times New Roman"/>
          <w:szCs w:val="24"/>
        </w:rPr>
        <w:t>Broséus,</w:t>
      </w:r>
      <w:r w:rsidR="00130AB4">
        <w:rPr>
          <w:rFonts w:eastAsia="Times New Roman" w:cs="Times New Roman"/>
          <w:szCs w:val="24"/>
        </w:rPr>
        <w:t xml:space="preserve"> 2016)</w:t>
      </w:r>
      <w:r>
        <w:t xml:space="preserve">. In this case, traffic requires that only the Crown proves the intent of the accused person making an offer for the substances. It is not necessary for the crown at this juncture to determine that the accused person had drugs themselves at the time or even capable of fulfilling the selling request. On the same note, the Crown must convict the accused person in cases whereby the individual tests positive of using the actual illegal drugs or substances that they have been proved to have. Honestly, it is quite clear to note that individuals who involve in drug and substance trafficking for relatively long; obtain wealth and unexplained richness. In this case, the Crown can prove that the accused person is guilty when they are unable to explain the actual source of their richness. </w:t>
      </w:r>
    </w:p>
    <w:p w:rsidR="005D3D9C" w:rsidRDefault="005D3D9C" w:rsidP="005D3D9C">
      <w:r>
        <w:t xml:space="preserve">   </w:t>
      </w:r>
      <w:r>
        <w:tab/>
        <w:t xml:space="preserve"> In conclusion, Canada is a country that is governed by strict adherence to the rule of law. Every civilian has the mandate to work and conduct themselves per the rule of law. Globally, substance trafficking is highly condemned thence people have to cease from engaging in such practices that may tentatively lead to lifetime sentencing. The Crown has the full mandate to ensure that individuals who participate suspiciously in any manner with the controlled substances; are brought to justice considering the available concrete evidence. </w:t>
      </w:r>
      <w:r w:rsidR="00592F42">
        <w:t>Above all; in order t</w:t>
      </w:r>
      <w:r>
        <w:t>o protect the accused persons, the law stipulates that they are innocent until proved guilty</w:t>
      </w:r>
      <w:r w:rsidR="008330E9">
        <w:t xml:space="preserve"> (</w:t>
      </w:r>
      <w:r w:rsidR="008330E9">
        <w:rPr>
          <w:rFonts w:eastAsia="Times New Roman" w:cs="Times New Roman"/>
          <w:szCs w:val="24"/>
        </w:rPr>
        <w:t xml:space="preserve">Maxwell, </w:t>
      </w:r>
      <w:r w:rsidR="008330E9" w:rsidRPr="00497B6D">
        <w:rPr>
          <w:rFonts w:eastAsia="Times New Roman" w:cs="Times New Roman"/>
          <w:szCs w:val="24"/>
        </w:rPr>
        <w:t>2015)</w:t>
      </w:r>
      <w:r>
        <w:t xml:space="preserve">. </w:t>
      </w:r>
    </w:p>
    <w:p w:rsidR="00497B6D" w:rsidRDefault="00497B6D" w:rsidP="005D3D9C"/>
    <w:p w:rsidR="00497B6D" w:rsidRDefault="00497B6D" w:rsidP="005D3D9C"/>
    <w:p w:rsidR="00497B6D" w:rsidRDefault="00497B6D" w:rsidP="005D3D9C"/>
    <w:p w:rsidR="00497B6D" w:rsidRDefault="00497B6D" w:rsidP="00497B6D">
      <w:pPr>
        <w:ind w:left="1440" w:hanging="720"/>
        <w:contextualSpacing/>
        <w:jc w:val="center"/>
      </w:pPr>
      <w:r>
        <w:lastRenderedPageBreak/>
        <w:t>References</w:t>
      </w:r>
    </w:p>
    <w:p w:rsidR="00497B6D" w:rsidRDefault="00497B6D" w:rsidP="00950BA6">
      <w:pPr>
        <w:ind w:left="720" w:hangingChars="300" w:hanging="720"/>
        <w:contextualSpacing/>
        <w:rPr>
          <w:rFonts w:eastAsia="Times New Roman" w:cs="Times New Roman"/>
          <w:szCs w:val="24"/>
        </w:rPr>
      </w:pPr>
      <w:r w:rsidRPr="00497B6D">
        <w:rPr>
          <w:rFonts w:eastAsia="Times New Roman" w:cs="Times New Roman"/>
          <w:szCs w:val="24"/>
        </w:rPr>
        <w:t xml:space="preserve">Asch, M. (2014). </w:t>
      </w:r>
      <w:r w:rsidRPr="00497B6D">
        <w:rPr>
          <w:rFonts w:eastAsia="Times New Roman" w:cs="Times New Roman"/>
          <w:i/>
          <w:iCs/>
          <w:szCs w:val="24"/>
        </w:rPr>
        <w:t>On being here to stay: Treaties and Aboriginal rights in Canada</w:t>
      </w:r>
      <w:r w:rsidRPr="00497B6D">
        <w:rPr>
          <w:rFonts w:eastAsia="Times New Roman" w:cs="Times New Roman"/>
          <w:szCs w:val="24"/>
        </w:rPr>
        <w:t>. University of Toronto Press.</w:t>
      </w:r>
    </w:p>
    <w:p w:rsidR="00497B6D" w:rsidRDefault="00497B6D" w:rsidP="00950BA6">
      <w:pPr>
        <w:ind w:left="720" w:hangingChars="300" w:hanging="720"/>
        <w:contextualSpacing/>
        <w:rPr>
          <w:rFonts w:eastAsia="Times New Roman" w:cs="Times New Roman"/>
          <w:szCs w:val="24"/>
        </w:rPr>
      </w:pPr>
      <w:r w:rsidRPr="00497B6D">
        <w:rPr>
          <w:rFonts w:eastAsia="Times New Roman" w:cs="Times New Roman"/>
          <w:szCs w:val="24"/>
        </w:rPr>
        <w:t>Broséus, J., Rhumorbarbe, D., Mireault, C., Ouellette, V., Crispino, F., &amp; Décary-Hétu, D. (2016). Studying illicit drug trafficking on Darknet</w:t>
      </w:r>
      <w:bookmarkStart w:id="0" w:name="_GoBack"/>
      <w:bookmarkEnd w:id="0"/>
      <w:r w:rsidRPr="00497B6D">
        <w:rPr>
          <w:rFonts w:eastAsia="Times New Roman" w:cs="Times New Roman"/>
          <w:szCs w:val="24"/>
        </w:rPr>
        <w:t xml:space="preserve"> markets: structure and </w:t>
      </w:r>
      <w:r w:rsidR="00950BA6" w:rsidRPr="00497B6D">
        <w:rPr>
          <w:rFonts w:eastAsia="Times New Roman" w:cs="Times New Roman"/>
          <w:szCs w:val="24"/>
        </w:rPr>
        <w:t>organization</w:t>
      </w:r>
      <w:r w:rsidRPr="00497B6D">
        <w:rPr>
          <w:rFonts w:eastAsia="Times New Roman" w:cs="Times New Roman"/>
          <w:szCs w:val="24"/>
        </w:rPr>
        <w:t xml:space="preserve"> from a Canadian perspective. </w:t>
      </w:r>
      <w:r w:rsidRPr="00497B6D">
        <w:rPr>
          <w:rFonts w:eastAsia="Times New Roman" w:cs="Times New Roman"/>
          <w:i/>
          <w:iCs/>
          <w:szCs w:val="24"/>
        </w:rPr>
        <w:t>Forensic science international</w:t>
      </w:r>
      <w:r w:rsidRPr="00497B6D">
        <w:rPr>
          <w:rFonts w:eastAsia="Times New Roman" w:cs="Times New Roman"/>
          <w:szCs w:val="24"/>
        </w:rPr>
        <w:t xml:space="preserve">, </w:t>
      </w:r>
      <w:r w:rsidRPr="00497B6D">
        <w:rPr>
          <w:rFonts w:eastAsia="Times New Roman" w:cs="Times New Roman"/>
          <w:i/>
          <w:iCs/>
          <w:szCs w:val="24"/>
        </w:rPr>
        <w:t>264</w:t>
      </w:r>
      <w:r w:rsidRPr="00497B6D">
        <w:rPr>
          <w:rFonts w:eastAsia="Times New Roman" w:cs="Times New Roman"/>
          <w:szCs w:val="24"/>
        </w:rPr>
        <w:t>, 7-14.</w:t>
      </w:r>
    </w:p>
    <w:p w:rsidR="00497B6D" w:rsidRPr="00497B6D" w:rsidRDefault="00497B6D" w:rsidP="00950BA6">
      <w:pPr>
        <w:ind w:left="720" w:hangingChars="300" w:hanging="720"/>
        <w:contextualSpacing/>
        <w:rPr>
          <w:rFonts w:eastAsia="Times New Roman" w:cs="Times New Roman"/>
          <w:szCs w:val="24"/>
        </w:rPr>
      </w:pPr>
      <w:r w:rsidRPr="00497B6D">
        <w:rPr>
          <w:rFonts w:eastAsia="Times New Roman" w:cs="Times New Roman"/>
          <w:szCs w:val="24"/>
        </w:rPr>
        <w:t xml:space="preserve">Fischer, B., Kuganesan, S., &amp; Room, R. (2015). Medical Marijuana programs: implications for cannabis control policy–observations from Canada. </w:t>
      </w:r>
      <w:r w:rsidRPr="00497B6D">
        <w:rPr>
          <w:rFonts w:eastAsia="Times New Roman" w:cs="Times New Roman"/>
          <w:i/>
          <w:iCs/>
          <w:szCs w:val="24"/>
        </w:rPr>
        <w:t>International Journal of Drug Policy</w:t>
      </w:r>
      <w:r w:rsidRPr="00497B6D">
        <w:rPr>
          <w:rFonts w:eastAsia="Times New Roman" w:cs="Times New Roman"/>
          <w:szCs w:val="24"/>
        </w:rPr>
        <w:t xml:space="preserve">, </w:t>
      </w:r>
      <w:r w:rsidRPr="00497B6D">
        <w:rPr>
          <w:rFonts w:eastAsia="Times New Roman" w:cs="Times New Roman"/>
          <w:i/>
          <w:iCs/>
          <w:szCs w:val="24"/>
        </w:rPr>
        <w:t>26</w:t>
      </w:r>
      <w:r w:rsidRPr="00497B6D">
        <w:rPr>
          <w:rFonts w:eastAsia="Times New Roman" w:cs="Times New Roman"/>
          <w:szCs w:val="24"/>
        </w:rPr>
        <w:t>(1), 15-19.</w:t>
      </w:r>
    </w:p>
    <w:p w:rsidR="00497B6D" w:rsidRPr="00497B6D" w:rsidRDefault="00497B6D" w:rsidP="00950BA6">
      <w:pPr>
        <w:ind w:left="720" w:hangingChars="300" w:hanging="720"/>
        <w:contextualSpacing/>
        <w:rPr>
          <w:rFonts w:eastAsia="Times New Roman" w:cs="Times New Roman"/>
          <w:szCs w:val="24"/>
        </w:rPr>
      </w:pPr>
      <w:r w:rsidRPr="00497B6D">
        <w:rPr>
          <w:rFonts w:eastAsia="Times New Roman" w:cs="Times New Roman"/>
          <w:szCs w:val="24"/>
        </w:rPr>
        <w:t xml:space="preserve">Khenti, A. (2014). The Canadian war on drugs: Structural violence and unequal treatment of Black Canadians. </w:t>
      </w:r>
      <w:r w:rsidRPr="00497B6D">
        <w:rPr>
          <w:rFonts w:eastAsia="Times New Roman" w:cs="Times New Roman"/>
          <w:i/>
          <w:iCs/>
          <w:szCs w:val="24"/>
        </w:rPr>
        <w:t>International Journal of Drug Policy</w:t>
      </w:r>
      <w:r w:rsidRPr="00497B6D">
        <w:rPr>
          <w:rFonts w:eastAsia="Times New Roman" w:cs="Times New Roman"/>
          <w:szCs w:val="24"/>
        </w:rPr>
        <w:t xml:space="preserve">, </w:t>
      </w:r>
      <w:r w:rsidRPr="00497B6D">
        <w:rPr>
          <w:rFonts w:eastAsia="Times New Roman" w:cs="Times New Roman"/>
          <w:i/>
          <w:iCs/>
          <w:szCs w:val="24"/>
        </w:rPr>
        <w:t>25</w:t>
      </w:r>
      <w:r w:rsidRPr="00497B6D">
        <w:rPr>
          <w:rFonts w:eastAsia="Times New Roman" w:cs="Times New Roman"/>
          <w:szCs w:val="24"/>
        </w:rPr>
        <w:t>(2), 190-195.</w:t>
      </w:r>
    </w:p>
    <w:p w:rsidR="00497B6D" w:rsidRPr="00497B6D" w:rsidRDefault="00497B6D" w:rsidP="00950BA6">
      <w:pPr>
        <w:ind w:left="720" w:hangingChars="300" w:hanging="720"/>
        <w:contextualSpacing/>
        <w:rPr>
          <w:rFonts w:eastAsia="Times New Roman" w:cs="Times New Roman"/>
          <w:szCs w:val="24"/>
        </w:rPr>
      </w:pPr>
      <w:r w:rsidRPr="00497B6D">
        <w:rPr>
          <w:rFonts w:eastAsia="Times New Roman" w:cs="Times New Roman"/>
          <w:szCs w:val="24"/>
        </w:rPr>
        <w:t xml:space="preserve">Maxwell, A. (2015). Adult criminal court statistics in Canada, 2013/2014. </w:t>
      </w:r>
      <w:r w:rsidRPr="00497B6D">
        <w:rPr>
          <w:rFonts w:eastAsia="Times New Roman" w:cs="Times New Roman"/>
          <w:i/>
          <w:iCs/>
          <w:szCs w:val="24"/>
        </w:rPr>
        <w:t>Juristat: Canadian Centre for Justice Statistics</w:t>
      </w:r>
      <w:r w:rsidRPr="00497B6D">
        <w:rPr>
          <w:rFonts w:eastAsia="Times New Roman" w:cs="Times New Roman"/>
          <w:szCs w:val="24"/>
        </w:rPr>
        <w:t>, 1.</w:t>
      </w:r>
    </w:p>
    <w:p w:rsidR="00497B6D" w:rsidRDefault="00497B6D" w:rsidP="00950BA6">
      <w:pPr>
        <w:ind w:left="720" w:hangingChars="300" w:hanging="720"/>
        <w:contextualSpacing/>
      </w:pPr>
    </w:p>
    <w:p w:rsidR="00FE7BDC" w:rsidRPr="005D3D9C" w:rsidRDefault="005D3D9C" w:rsidP="00950BA6">
      <w:pPr>
        <w:ind w:left="720" w:hangingChars="300" w:hanging="720"/>
        <w:contextualSpacing/>
      </w:pPr>
      <w:r>
        <w:t xml:space="preserve">    </w:t>
      </w:r>
    </w:p>
    <w:sectPr w:rsidR="00FE7BDC" w:rsidRPr="005D3D9C" w:rsidSect="000909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EF6" w:rsidRDefault="00531EF6" w:rsidP="00090900">
      <w:pPr>
        <w:spacing w:line="240" w:lineRule="auto"/>
      </w:pPr>
      <w:r>
        <w:separator/>
      </w:r>
    </w:p>
  </w:endnote>
  <w:endnote w:type="continuationSeparator" w:id="0">
    <w:p w:rsidR="00531EF6" w:rsidRDefault="00531EF6" w:rsidP="000909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EF6" w:rsidRDefault="00531EF6" w:rsidP="00090900">
      <w:pPr>
        <w:spacing w:line="240" w:lineRule="auto"/>
      </w:pPr>
      <w:r>
        <w:separator/>
      </w:r>
    </w:p>
  </w:footnote>
  <w:footnote w:type="continuationSeparator" w:id="0">
    <w:p w:rsidR="00531EF6" w:rsidRDefault="00531EF6" w:rsidP="0009090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499380"/>
      <w:docPartObj>
        <w:docPartGallery w:val="Page Numbers (Top of Page)"/>
        <w:docPartUnique/>
      </w:docPartObj>
    </w:sdtPr>
    <w:sdtEndPr/>
    <w:sdtContent>
      <w:p w:rsidR="00090900" w:rsidRDefault="00090900">
        <w:pPr>
          <w:pStyle w:val="Header"/>
          <w:jc w:val="right"/>
        </w:pPr>
        <w:r>
          <w:t>ELEMENTS OF CROWN CONVICTION</w:t>
        </w:r>
        <w:r>
          <w:tab/>
        </w:r>
        <w:r>
          <w:tab/>
        </w:r>
        <w:r w:rsidR="00531EF6">
          <w:fldChar w:fldCharType="begin"/>
        </w:r>
        <w:r w:rsidR="00531EF6">
          <w:instrText xml:space="preserve"> PAGE   \* MERGEFORMAT </w:instrText>
        </w:r>
        <w:r w:rsidR="00531EF6">
          <w:fldChar w:fldCharType="separate"/>
        </w:r>
        <w:r w:rsidR="00950BA6">
          <w:rPr>
            <w:noProof/>
          </w:rPr>
          <w:t>6</w:t>
        </w:r>
        <w:r w:rsidR="00531EF6">
          <w:rPr>
            <w:noProof/>
          </w:rPr>
          <w:fldChar w:fldCharType="end"/>
        </w:r>
      </w:p>
    </w:sdtContent>
  </w:sdt>
  <w:p w:rsidR="00090900" w:rsidRDefault="000909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499376"/>
      <w:docPartObj>
        <w:docPartGallery w:val="Page Numbers (Top of Page)"/>
        <w:docPartUnique/>
      </w:docPartObj>
    </w:sdtPr>
    <w:sdtEndPr/>
    <w:sdtContent>
      <w:p w:rsidR="00090900" w:rsidRDefault="00090900">
        <w:pPr>
          <w:pStyle w:val="Header"/>
          <w:jc w:val="right"/>
        </w:pPr>
        <w:r>
          <w:t>Running head: ELEMENTS OF CROWN CONVICTION</w:t>
        </w:r>
        <w:r>
          <w:tab/>
        </w:r>
        <w:r w:rsidR="00531EF6">
          <w:fldChar w:fldCharType="begin"/>
        </w:r>
        <w:r w:rsidR="00531EF6">
          <w:instrText xml:space="preserve"> PAGE   \* MERGEFORMAT </w:instrText>
        </w:r>
        <w:r w:rsidR="00531EF6">
          <w:fldChar w:fldCharType="separate"/>
        </w:r>
        <w:r w:rsidR="00950BA6">
          <w:rPr>
            <w:noProof/>
          </w:rPr>
          <w:t>1</w:t>
        </w:r>
        <w:r w:rsidR="00531EF6">
          <w:rPr>
            <w:noProof/>
          </w:rPr>
          <w:fldChar w:fldCharType="end"/>
        </w:r>
      </w:p>
    </w:sdtContent>
  </w:sdt>
  <w:p w:rsidR="00090900" w:rsidRDefault="00090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01315"/>
    <w:rsid w:val="000357DC"/>
    <w:rsid w:val="00056402"/>
    <w:rsid w:val="00090900"/>
    <w:rsid w:val="000D6FFF"/>
    <w:rsid w:val="000E7510"/>
    <w:rsid w:val="001018F8"/>
    <w:rsid w:val="001307D1"/>
    <w:rsid w:val="00130AB4"/>
    <w:rsid w:val="00154B05"/>
    <w:rsid w:val="00156DC8"/>
    <w:rsid w:val="00167BFA"/>
    <w:rsid w:val="00195F9F"/>
    <w:rsid w:val="00252357"/>
    <w:rsid w:val="00276F5B"/>
    <w:rsid w:val="002A7642"/>
    <w:rsid w:val="002E11BA"/>
    <w:rsid w:val="00331D85"/>
    <w:rsid w:val="00333336"/>
    <w:rsid w:val="00391026"/>
    <w:rsid w:val="003927BA"/>
    <w:rsid w:val="003928E4"/>
    <w:rsid w:val="003B238C"/>
    <w:rsid w:val="003B2EF7"/>
    <w:rsid w:val="003D189E"/>
    <w:rsid w:val="00412412"/>
    <w:rsid w:val="00497B6D"/>
    <w:rsid w:val="004A7956"/>
    <w:rsid w:val="004B458F"/>
    <w:rsid w:val="004E72FA"/>
    <w:rsid w:val="00523C1F"/>
    <w:rsid w:val="00531EF6"/>
    <w:rsid w:val="00592F42"/>
    <w:rsid w:val="005C015A"/>
    <w:rsid w:val="005D3D9C"/>
    <w:rsid w:val="005E49C5"/>
    <w:rsid w:val="005E4D2C"/>
    <w:rsid w:val="00624F08"/>
    <w:rsid w:val="00677CB1"/>
    <w:rsid w:val="0070702A"/>
    <w:rsid w:val="007D6658"/>
    <w:rsid w:val="008330E9"/>
    <w:rsid w:val="008426C2"/>
    <w:rsid w:val="008B5663"/>
    <w:rsid w:val="008C1C99"/>
    <w:rsid w:val="008C7DDC"/>
    <w:rsid w:val="008E6FFF"/>
    <w:rsid w:val="009044D3"/>
    <w:rsid w:val="00904935"/>
    <w:rsid w:val="00950BA6"/>
    <w:rsid w:val="009D7134"/>
    <w:rsid w:val="009F15F0"/>
    <w:rsid w:val="00A95236"/>
    <w:rsid w:val="00AC6884"/>
    <w:rsid w:val="00AF5635"/>
    <w:rsid w:val="00B22DEE"/>
    <w:rsid w:val="00B70A23"/>
    <w:rsid w:val="00B8505F"/>
    <w:rsid w:val="00B9537D"/>
    <w:rsid w:val="00C659C3"/>
    <w:rsid w:val="00C662B2"/>
    <w:rsid w:val="00C94592"/>
    <w:rsid w:val="00CA428A"/>
    <w:rsid w:val="00DA0FF1"/>
    <w:rsid w:val="00E27F71"/>
    <w:rsid w:val="00E86B40"/>
    <w:rsid w:val="00EC39B1"/>
    <w:rsid w:val="00F01315"/>
    <w:rsid w:val="00F72B88"/>
    <w:rsid w:val="00F75D48"/>
    <w:rsid w:val="00FE7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B238C"/>
    <w:rPr>
      <w:sz w:val="16"/>
      <w:szCs w:val="16"/>
    </w:rPr>
  </w:style>
  <w:style w:type="paragraph" w:styleId="CommentText">
    <w:name w:val="annotation text"/>
    <w:basedOn w:val="Normal"/>
    <w:link w:val="CommentTextChar"/>
    <w:uiPriority w:val="99"/>
    <w:semiHidden/>
    <w:unhideWhenUsed/>
    <w:rsid w:val="003B238C"/>
    <w:pPr>
      <w:spacing w:line="240" w:lineRule="auto"/>
    </w:pPr>
    <w:rPr>
      <w:sz w:val="20"/>
      <w:szCs w:val="20"/>
    </w:rPr>
  </w:style>
  <w:style w:type="character" w:customStyle="1" w:styleId="CommentTextChar">
    <w:name w:val="Comment Text Char"/>
    <w:basedOn w:val="DefaultParagraphFont"/>
    <w:link w:val="CommentText"/>
    <w:uiPriority w:val="99"/>
    <w:semiHidden/>
    <w:rsid w:val="003B238C"/>
    <w:rPr>
      <w:sz w:val="20"/>
      <w:szCs w:val="20"/>
    </w:rPr>
  </w:style>
  <w:style w:type="paragraph" w:styleId="CommentSubject">
    <w:name w:val="annotation subject"/>
    <w:basedOn w:val="CommentText"/>
    <w:next w:val="CommentText"/>
    <w:link w:val="CommentSubjectChar"/>
    <w:uiPriority w:val="99"/>
    <w:semiHidden/>
    <w:unhideWhenUsed/>
    <w:rsid w:val="003B238C"/>
    <w:rPr>
      <w:b/>
      <w:bCs/>
    </w:rPr>
  </w:style>
  <w:style w:type="character" w:customStyle="1" w:styleId="CommentSubjectChar">
    <w:name w:val="Comment Subject Char"/>
    <w:basedOn w:val="CommentTextChar"/>
    <w:link w:val="CommentSubject"/>
    <w:uiPriority w:val="99"/>
    <w:semiHidden/>
    <w:rsid w:val="003B238C"/>
    <w:rPr>
      <w:b/>
      <w:bCs/>
      <w:sz w:val="20"/>
      <w:szCs w:val="20"/>
    </w:rPr>
  </w:style>
  <w:style w:type="paragraph" w:styleId="BalloonText">
    <w:name w:val="Balloon Text"/>
    <w:basedOn w:val="Normal"/>
    <w:link w:val="BalloonTextChar"/>
    <w:uiPriority w:val="99"/>
    <w:semiHidden/>
    <w:unhideWhenUsed/>
    <w:rsid w:val="003B238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38C"/>
    <w:rPr>
      <w:rFonts w:ascii="Tahoma" w:hAnsi="Tahoma" w:cs="Tahoma"/>
      <w:sz w:val="16"/>
      <w:szCs w:val="16"/>
    </w:rPr>
  </w:style>
  <w:style w:type="paragraph" w:styleId="Header">
    <w:name w:val="header"/>
    <w:basedOn w:val="Normal"/>
    <w:link w:val="HeaderChar"/>
    <w:uiPriority w:val="99"/>
    <w:unhideWhenUsed/>
    <w:rsid w:val="00090900"/>
    <w:pPr>
      <w:tabs>
        <w:tab w:val="center" w:pos="4680"/>
        <w:tab w:val="right" w:pos="9360"/>
      </w:tabs>
      <w:spacing w:line="240" w:lineRule="auto"/>
    </w:pPr>
  </w:style>
  <w:style w:type="character" w:customStyle="1" w:styleId="HeaderChar">
    <w:name w:val="Header Char"/>
    <w:basedOn w:val="DefaultParagraphFont"/>
    <w:link w:val="Header"/>
    <w:uiPriority w:val="99"/>
    <w:rsid w:val="00090900"/>
  </w:style>
  <w:style w:type="paragraph" w:styleId="Footer">
    <w:name w:val="footer"/>
    <w:basedOn w:val="Normal"/>
    <w:link w:val="FooterChar"/>
    <w:uiPriority w:val="99"/>
    <w:semiHidden/>
    <w:unhideWhenUsed/>
    <w:rsid w:val="0009090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90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534487">
      <w:bodyDiv w:val="1"/>
      <w:marLeft w:val="0"/>
      <w:marRight w:val="0"/>
      <w:marTop w:val="0"/>
      <w:marBottom w:val="0"/>
      <w:divBdr>
        <w:top w:val="none" w:sz="0" w:space="0" w:color="auto"/>
        <w:left w:val="none" w:sz="0" w:space="0" w:color="auto"/>
        <w:bottom w:val="none" w:sz="0" w:space="0" w:color="auto"/>
        <w:right w:val="none" w:sz="0" w:space="0" w:color="auto"/>
      </w:divBdr>
      <w:divsChild>
        <w:div w:id="1425805320">
          <w:marLeft w:val="0"/>
          <w:marRight w:val="0"/>
          <w:marTop w:val="0"/>
          <w:marBottom w:val="0"/>
          <w:divBdr>
            <w:top w:val="none" w:sz="0" w:space="0" w:color="auto"/>
            <w:left w:val="none" w:sz="0" w:space="0" w:color="auto"/>
            <w:bottom w:val="none" w:sz="0" w:space="0" w:color="auto"/>
            <w:right w:val="none" w:sz="0" w:space="0" w:color="auto"/>
          </w:divBdr>
        </w:div>
      </w:divsChild>
    </w:div>
    <w:div w:id="274018622">
      <w:bodyDiv w:val="1"/>
      <w:marLeft w:val="0"/>
      <w:marRight w:val="0"/>
      <w:marTop w:val="0"/>
      <w:marBottom w:val="0"/>
      <w:divBdr>
        <w:top w:val="none" w:sz="0" w:space="0" w:color="auto"/>
        <w:left w:val="none" w:sz="0" w:space="0" w:color="auto"/>
        <w:bottom w:val="none" w:sz="0" w:space="0" w:color="auto"/>
        <w:right w:val="none" w:sz="0" w:space="0" w:color="auto"/>
      </w:divBdr>
      <w:divsChild>
        <w:div w:id="327949267">
          <w:marLeft w:val="0"/>
          <w:marRight w:val="0"/>
          <w:marTop w:val="0"/>
          <w:marBottom w:val="0"/>
          <w:divBdr>
            <w:top w:val="none" w:sz="0" w:space="0" w:color="auto"/>
            <w:left w:val="none" w:sz="0" w:space="0" w:color="auto"/>
            <w:bottom w:val="none" w:sz="0" w:space="0" w:color="auto"/>
            <w:right w:val="none" w:sz="0" w:space="0" w:color="auto"/>
          </w:divBdr>
        </w:div>
      </w:divsChild>
    </w:div>
    <w:div w:id="1004743281">
      <w:bodyDiv w:val="1"/>
      <w:marLeft w:val="0"/>
      <w:marRight w:val="0"/>
      <w:marTop w:val="0"/>
      <w:marBottom w:val="0"/>
      <w:divBdr>
        <w:top w:val="none" w:sz="0" w:space="0" w:color="auto"/>
        <w:left w:val="none" w:sz="0" w:space="0" w:color="auto"/>
        <w:bottom w:val="none" w:sz="0" w:space="0" w:color="auto"/>
        <w:right w:val="none" w:sz="0" w:space="0" w:color="auto"/>
      </w:divBdr>
      <w:divsChild>
        <w:div w:id="1177891538">
          <w:marLeft w:val="0"/>
          <w:marRight w:val="0"/>
          <w:marTop w:val="0"/>
          <w:marBottom w:val="0"/>
          <w:divBdr>
            <w:top w:val="none" w:sz="0" w:space="0" w:color="auto"/>
            <w:left w:val="none" w:sz="0" w:space="0" w:color="auto"/>
            <w:bottom w:val="none" w:sz="0" w:space="0" w:color="auto"/>
            <w:right w:val="none" w:sz="0" w:space="0" w:color="auto"/>
          </w:divBdr>
        </w:div>
      </w:divsChild>
    </w:div>
    <w:div w:id="1016034653">
      <w:bodyDiv w:val="1"/>
      <w:marLeft w:val="0"/>
      <w:marRight w:val="0"/>
      <w:marTop w:val="0"/>
      <w:marBottom w:val="0"/>
      <w:divBdr>
        <w:top w:val="none" w:sz="0" w:space="0" w:color="auto"/>
        <w:left w:val="none" w:sz="0" w:space="0" w:color="auto"/>
        <w:bottom w:val="none" w:sz="0" w:space="0" w:color="auto"/>
        <w:right w:val="none" w:sz="0" w:space="0" w:color="auto"/>
      </w:divBdr>
      <w:divsChild>
        <w:div w:id="366569474">
          <w:marLeft w:val="0"/>
          <w:marRight w:val="0"/>
          <w:marTop w:val="0"/>
          <w:marBottom w:val="0"/>
          <w:divBdr>
            <w:top w:val="none" w:sz="0" w:space="0" w:color="auto"/>
            <w:left w:val="none" w:sz="0" w:space="0" w:color="auto"/>
            <w:bottom w:val="none" w:sz="0" w:space="0" w:color="auto"/>
            <w:right w:val="none" w:sz="0" w:space="0" w:color="auto"/>
          </w:divBdr>
        </w:div>
      </w:divsChild>
    </w:div>
    <w:div w:id="1145512657">
      <w:bodyDiv w:val="1"/>
      <w:marLeft w:val="0"/>
      <w:marRight w:val="0"/>
      <w:marTop w:val="0"/>
      <w:marBottom w:val="0"/>
      <w:divBdr>
        <w:top w:val="none" w:sz="0" w:space="0" w:color="auto"/>
        <w:left w:val="none" w:sz="0" w:space="0" w:color="auto"/>
        <w:bottom w:val="none" w:sz="0" w:space="0" w:color="auto"/>
        <w:right w:val="none" w:sz="0" w:space="0" w:color="auto"/>
      </w:divBdr>
      <w:divsChild>
        <w:div w:id="301078711">
          <w:marLeft w:val="0"/>
          <w:marRight w:val="0"/>
          <w:marTop w:val="0"/>
          <w:marBottom w:val="0"/>
          <w:divBdr>
            <w:top w:val="none" w:sz="0" w:space="0" w:color="auto"/>
            <w:left w:val="none" w:sz="0" w:space="0" w:color="auto"/>
            <w:bottom w:val="none" w:sz="0" w:space="0" w:color="auto"/>
            <w:right w:val="none" w:sz="0" w:space="0" w:color="auto"/>
          </w:divBdr>
        </w:div>
      </w:divsChild>
    </w:div>
    <w:div w:id="1794984180">
      <w:bodyDiv w:val="1"/>
      <w:marLeft w:val="0"/>
      <w:marRight w:val="0"/>
      <w:marTop w:val="0"/>
      <w:marBottom w:val="0"/>
      <w:divBdr>
        <w:top w:val="none" w:sz="0" w:space="0" w:color="auto"/>
        <w:left w:val="none" w:sz="0" w:space="0" w:color="auto"/>
        <w:bottom w:val="none" w:sz="0" w:space="0" w:color="auto"/>
        <w:right w:val="none" w:sz="0" w:space="0" w:color="auto"/>
      </w:divBdr>
      <w:divsChild>
        <w:div w:id="8335648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3ADEC-2A14-4A1D-B252-3477AE236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6</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101</cp:revision>
  <dcterms:created xsi:type="dcterms:W3CDTF">2019-04-10T04:00:00Z</dcterms:created>
  <dcterms:modified xsi:type="dcterms:W3CDTF">2019-04-10T18:08:00Z</dcterms:modified>
</cp:coreProperties>
</file>